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12DA" w14:textId="5A11EABE" w:rsidR="00631707" w:rsidRDefault="00573D68" w:rsidP="00573D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Music Theory – </w:t>
      </w:r>
      <w:r w:rsidR="00A35B95">
        <w:rPr>
          <w:b/>
          <w:sz w:val="36"/>
          <w:szCs w:val="36"/>
        </w:rPr>
        <w:t xml:space="preserve">Course 1 </w:t>
      </w:r>
      <w:bookmarkStart w:id="0" w:name="_GoBack"/>
      <w:bookmarkEnd w:id="0"/>
      <w:r>
        <w:rPr>
          <w:b/>
          <w:sz w:val="36"/>
          <w:szCs w:val="36"/>
        </w:rPr>
        <w:t>Session 1</w:t>
      </w:r>
    </w:p>
    <w:p w14:paraId="4B1FE021" w14:textId="77777777" w:rsidR="00573D68" w:rsidRDefault="00573D68" w:rsidP="00573D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Syllabus</w:t>
      </w:r>
    </w:p>
    <w:p w14:paraId="20E62EE7" w14:textId="77777777" w:rsidR="00573D68" w:rsidRDefault="00573D68" w:rsidP="00573D68">
      <w:pPr>
        <w:jc w:val="center"/>
        <w:rPr>
          <w:b/>
          <w:sz w:val="36"/>
          <w:szCs w:val="36"/>
        </w:rPr>
      </w:pPr>
    </w:p>
    <w:p w14:paraId="39A21063" w14:textId="77777777" w:rsidR="00573D68" w:rsidRDefault="00573D68" w:rsidP="00573D68">
      <w:pPr>
        <w:rPr>
          <w:b/>
        </w:rPr>
      </w:pPr>
      <w:r>
        <w:rPr>
          <w:b/>
        </w:rPr>
        <w:t>Instructor Information:</w:t>
      </w:r>
    </w:p>
    <w:p w14:paraId="195B6FD9" w14:textId="77777777" w:rsidR="00573D68" w:rsidRDefault="00573D68" w:rsidP="00573D68">
      <w:r>
        <w:t>Sean M. Davis</w:t>
      </w:r>
    </w:p>
    <w:p w14:paraId="63DE8F0D" w14:textId="77777777" w:rsidR="00573D68" w:rsidRDefault="00932E41" w:rsidP="00573D68">
      <w:hyperlink r:id="rId6" w:history="1">
        <w:r w:rsidR="00573D68" w:rsidRPr="00CA4D66">
          <w:rPr>
            <w:rStyle w:val="Hyperlink"/>
          </w:rPr>
          <w:t>seandavis@temple.edu</w:t>
        </w:r>
      </w:hyperlink>
    </w:p>
    <w:p w14:paraId="6C22E0E7" w14:textId="77777777" w:rsidR="00573D68" w:rsidRDefault="00573D68" w:rsidP="00573D68"/>
    <w:p w14:paraId="5160565B" w14:textId="77777777" w:rsidR="00573D68" w:rsidRDefault="00573D68" w:rsidP="00573D68">
      <w:pPr>
        <w:rPr>
          <w:b/>
        </w:rPr>
      </w:pPr>
      <w:r>
        <w:rPr>
          <w:b/>
        </w:rPr>
        <w:t>Texts:</w:t>
      </w:r>
    </w:p>
    <w:p w14:paraId="77DDC383" w14:textId="77777777" w:rsidR="00573D68" w:rsidRDefault="00573D68" w:rsidP="00573D68">
      <w:r>
        <w:t xml:space="preserve">No Required text, although Jane Piper </w:t>
      </w:r>
      <w:proofErr w:type="spellStart"/>
      <w:r>
        <w:t>Clendinning’s</w:t>
      </w:r>
      <w:proofErr w:type="spellEnd"/>
      <w:r>
        <w:t xml:space="preserve"> </w:t>
      </w:r>
      <w:r>
        <w:rPr>
          <w:i/>
        </w:rPr>
        <w:t>The Musician’s Guide to Fundamentals</w:t>
      </w:r>
      <w:r>
        <w:t xml:space="preserve"> is a fantastic supplementary text for the student who needs extra material.</w:t>
      </w:r>
    </w:p>
    <w:p w14:paraId="11A26C5B" w14:textId="77777777" w:rsidR="00573D68" w:rsidRDefault="00573D68" w:rsidP="00573D68"/>
    <w:p w14:paraId="1F23AAF7" w14:textId="77777777" w:rsidR="00573D68" w:rsidRDefault="00573D68" w:rsidP="00573D68">
      <w:r>
        <w:t>All other class material will be provided online.</w:t>
      </w:r>
    </w:p>
    <w:p w14:paraId="36627948" w14:textId="77777777" w:rsidR="00573D68" w:rsidRDefault="00573D68" w:rsidP="00573D68"/>
    <w:p w14:paraId="7AD397CB" w14:textId="77777777" w:rsidR="00573D68" w:rsidRDefault="00573D68" w:rsidP="00573D68">
      <w:r>
        <w:t xml:space="preserve">I will frequently reference these online resources: </w:t>
      </w:r>
      <w:hyperlink r:id="rId7" w:history="1">
        <w:r w:rsidRPr="00CA4D66">
          <w:rPr>
            <w:rStyle w:val="Hyperlink"/>
          </w:rPr>
          <w:t>www.musictheory.net</w:t>
        </w:r>
      </w:hyperlink>
      <w:r>
        <w:t xml:space="preserve">; </w:t>
      </w:r>
      <w:hyperlink r:id="rId8" w:history="1">
        <w:r w:rsidRPr="00CA4D66">
          <w:rPr>
            <w:rStyle w:val="Hyperlink"/>
          </w:rPr>
          <w:t>www.teoria.com</w:t>
        </w:r>
      </w:hyperlink>
      <w:r>
        <w:t xml:space="preserve">; </w:t>
      </w:r>
      <w:hyperlink r:id="rId9" w:history="1">
        <w:r w:rsidRPr="00CA4D66">
          <w:rPr>
            <w:rStyle w:val="Hyperlink"/>
          </w:rPr>
          <w:t>www.musictheoryexamples.com</w:t>
        </w:r>
      </w:hyperlink>
      <w:r>
        <w:t xml:space="preserve"> </w:t>
      </w:r>
    </w:p>
    <w:p w14:paraId="22734261" w14:textId="77777777" w:rsidR="00573D68" w:rsidRDefault="00573D68" w:rsidP="00573D68"/>
    <w:p w14:paraId="3AC651FD" w14:textId="77777777" w:rsidR="00573D68" w:rsidRDefault="00573D68" w:rsidP="00573D68">
      <w:pPr>
        <w:rPr>
          <w:b/>
        </w:rPr>
      </w:pPr>
      <w:r>
        <w:rPr>
          <w:b/>
        </w:rPr>
        <w:t>Course Description:</w:t>
      </w:r>
    </w:p>
    <w:p w14:paraId="65442D13" w14:textId="77777777" w:rsidR="00573D68" w:rsidRDefault="00573D68" w:rsidP="00573D68">
      <w:r>
        <w:rPr>
          <w:sz w:val="22"/>
          <w:szCs w:val="22"/>
        </w:rPr>
        <w:t>This course serves as an introduction to basic musical theory. We will study basic scales, clefs, intervals, rhythm and chord st</w:t>
      </w:r>
      <w:r w:rsidR="008D6DE4">
        <w:rPr>
          <w:sz w:val="22"/>
          <w:szCs w:val="22"/>
        </w:rPr>
        <w:t>ructures, simple harmonization</w:t>
      </w:r>
      <w:r w:rsidR="00492B7B">
        <w:rPr>
          <w:sz w:val="22"/>
          <w:szCs w:val="22"/>
        </w:rPr>
        <w:t xml:space="preserve">, </w:t>
      </w:r>
      <w:r>
        <w:rPr>
          <w:sz w:val="22"/>
          <w:szCs w:val="22"/>
        </w:rPr>
        <w:t>and rudimentary aural theory. Some previous training is helpful, but not necessary.</w:t>
      </w:r>
      <w:r>
        <w:t xml:space="preserve">  </w:t>
      </w:r>
    </w:p>
    <w:p w14:paraId="03822DC3" w14:textId="77777777" w:rsidR="00573D68" w:rsidRDefault="00573D68" w:rsidP="00573D68"/>
    <w:p w14:paraId="34224EFB" w14:textId="77777777" w:rsidR="00573D68" w:rsidRDefault="00573D68" w:rsidP="00573D68">
      <w:pPr>
        <w:rPr>
          <w:b/>
        </w:rPr>
      </w:pPr>
      <w:r>
        <w:rPr>
          <w:b/>
        </w:rPr>
        <w:t>Learning Outcomes:</w:t>
      </w:r>
    </w:p>
    <w:p w14:paraId="233CD56B" w14:textId="77777777" w:rsidR="00492B7B" w:rsidRDefault="00492B7B" w:rsidP="00573D68">
      <w:r>
        <w:t>Upon successful completion of this course, students will be able to:</w:t>
      </w:r>
    </w:p>
    <w:p w14:paraId="6FD4225D" w14:textId="77777777" w:rsidR="00492B7B" w:rsidRDefault="00492B7B" w:rsidP="00573D68"/>
    <w:p w14:paraId="38374857" w14:textId="77777777" w:rsidR="00492B7B" w:rsidRDefault="00492B7B" w:rsidP="00492B7B">
      <w:pPr>
        <w:pStyle w:val="ListParagraph"/>
        <w:numPr>
          <w:ilvl w:val="0"/>
          <w:numId w:val="1"/>
        </w:numPr>
      </w:pPr>
      <w:r>
        <w:t>Identify scales, intervals, and chords both on a musical score, and by ear.</w:t>
      </w:r>
    </w:p>
    <w:p w14:paraId="3BDF0381" w14:textId="77777777" w:rsidR="00492B7B" w:rsidRDefault="00492B7B" w:rsidP="00492B7B">
      <w:pPr>
        <w:pStyle w:val="ListParagraph"/>
        <w:numPr>
          <w:ilvl w:val="0"/>
          <w:numId w:val="1"/>
        </w:numPr>
      </w:pPr>
      <w:r>
        <w:t>Transcribe simple melodies and chord progressions by ear</w:t>
      </w:r>
    </w:p>
    <w:p w14:paraId="759633CB" w14:textId="77777777" w:rsidR="00492B7B" w:rsidRDefault="00492B7B" w:rsidP="00492B7B">
      <w:pPr>
        <w:pStyle w:val="ListParagraph"/>
        <w:numPr>
          <w:ilvl w:val="0"/>
          <w:numId w:val="1"/>
        </w:numPr>
      </w:pPr>
      <w:r>
        <w:t>Harmonize a melody and/or bass line with stylistic competency</w:t>
      </w:r>
    </w:p>
    <w:p w14:paraId="1E4DDAF9" w14:textId="77777777" w:rsidR="00995B83" w:rsidRDefault="00492B7B" w:rsidP="00492B7B">
      <w:pPr>
        <w:pStyle w:val="ListParagraph"/>
        <w:numPr>
          <w:ilvl w:val="0"/>
          <w:numId w:val="1"/>
        </w:numPr>
      </w:pPr>
      <w:r>
        <w:t xml:space="preserve">Compose </w:t>
      </w:r>
      <w:r w:rsidR="008D6DE4">
        <w:t>a basic chord progression that culminates in a cadence</w:t>
      </w:r>
    </w:p>
    <w:p w14:paraId="2BD64F69" w14:textId="77777777" w:rsidR="00492B7B" w:rsidRDefault="007501D3" w:rsidP="00492B7B">
      <w:pPr>
        <w:pStyle w:val="ListParagraph"/>
        <w:numPr>
          <w:ilvl w:val="0"/>
          <w:numId w:val="1"/>
        </w:numPr>
      </w:pPr>
      <w:r>
        <w:t>Accurately perform written music from any clef</w:t>
      </w:r>
      <w:r w:rsidR="00492B7B">
        <w:t xml:space="preserve"> </w:t>
      </w:r>
    </w:p>
    <w:p w14:paraId="57B13786" w14:textId="77777777" w:rsidR="007501D3" w:rsidRDefault="007501D3" w:rsidP="007501D3"/>
    <w:p w14:paraId="44ABFB5A" w14:textId="77777777" w:rsidR="007501D3" w:rsidRDefault="007501D3" w:rsidP="007501D3">
      <w:pPr>
        <w:rPr>
          <w:b/>
        </w:rPr>
      </w:pPr>
      <w:r>
        <w:rPr>
          <w:b/>
        </w:rPr>
        <w:t>Course Work:</w:t>
      </w:r>
    </w:p>
    <w:p w14:paraId="14D68636" w14:textId="1E2E5E18" w:rsidR="007501D3" w:rsidRDefault="007501D3" w:rsidP="007501D3">
      <w:r>
        <w:t>There will be weekly homework assignments (total of 8) that reinforce each week’s specific lesson</w:t>
      </w:r>
      <w:r w:rsidR="00A2182E">
        <w:t>, a composition project (melody harmonization)</w:t>
      </w:r>
      <w:r>
        <w:t>. Additionally, there will be two assessments (week 4 and week 8) to ensure each student adequately learned the material.</w:t>
      </w:r>
      <w:r w:rsidR="00A2182E">
        <w:t xml:space="preserve"> </w:t>
      </w:r>
    </w:p>
    <w:p w14:paraId="04E78948" w14:textId="77777777" w:rsidR="007501D3" w:rsidRDefault="007501D3" w:rsidP="007501D3"/>
    <w:p w14:paraId="4A4C9948" w14:textId="77A14402" w:rsidR="00A2182E" w:rsidRDefault="007501D3" w:rsidP="007501D3">
      <w:r>
        <w:t>Classes will be discussion and participation based, f</w:t>
      </w:r>
      <w:r w:rsidR="008D6DE4">
        <w:t>ocusing on practical skills (singing, aural transcription, part-writing, counterpoint exercises, etc.)</w:t>
      </w:r>
    </w:p>
    <w:p w14:paraId="704AB119" w14:textId="77777777" w:rsidR="008D6DE4" w:rsidRDefault="008D6DE4" w:rsidP="007501D3"/>
    <w:p w14:paraId="49BC8AFF" w14:textId="2BD9B56D" w:rsidR="008D6DE4" w:rsidRPr="00A35B95" w:rsidRDefault="00A35B95" w:rsidP="007501D3">
      <w:pPr>
        <w:rPr>
          <w:b/>
        </w:rPr>
      </w:pPr>
      <w:r w:rsidRPr="00A35B95">
        <w:rPr>
          <w:b/>
        </w:rPr>
        <w:t>Course Fee:</w:t>
      </w:r>
      <w:r>
        <w:rPr>
          <w:b/>
          <w:sz w:val="28"/>
          <w:szCs w:val="28"/>
        </w:rPr>
        <w:t xml:space="preserve"> </w:t>
      </w:r>
      <w:r>
        <w:rPr>
          <w:b/>
        </w:rPr>
        <w:t>$450.00</w:t>
      </w:r>
    </w:p>
    <w:p w14:paraId="612D2416" w14:textId="77777777" w:rsidR="008D6DE4" w:rsidRDefault="008D6DE4" w:rsidP="007501D3"/>
    <w:p w14:paraId="29281374" w14:textId="77777777" w:rsidR="008D6DE4" w:rsidRDefault="008D6DE4" w:rsidP="007501D3">
      <w:pPr>
        <w:rPr>
          <w:b/>
        </w:rPr>
      </w:pPr>
      <w:r>
        <w:rPr>
          <w:b/>
        </w:rPr>
        <w:t>Tentative Course Schedule:</w:t>
      </w:r>
    </w:p>
    <w:p w14:paraId="017F19EB" w14:textId="77777777" w:rsidR="008D6DE4" w:rsidRDefault="008D6DE4" w:rsidP="007501D3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330"/>
      </w:tblGrid>
      <w:tr w:rsidR="008D6DE4" w14:paraId="3ACC2577" w14:textId="77777777" w:rsidTr="00932E41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F882" w14:textId="77777777" w:rsidR="008D6DE4" w:rsidRDefault="008D6DE4" w:rsidP="008D6DE4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Week 1 </w:t>
            </w:r>
          </w:p>
        </w:tc>
        <w:tc>
          <w:tcPr>
            <w:tcW w:w="4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7462E" w14:textId="77777777" w:rsidR="008D6DE4" w:rsidRDefault="008D6DE4" w:rsidP="008D6DE4">
            <w:pPr>
              <w:pStyle w:val="TableContents"/>
              <w:snapToGrid w:val="0"/>
            </w:pPr>
            <w:r>
              <w:t>Clefs/Whole vs. half steps/Octave Designations</w:t>
            </w:r>
          </w:p>
        </w:tc>
      </w:tr>
      <w:tr w:rsidR="008D6DE4" w14:paraId="15C4E346" w14:textId="77777777" w:rsidTr="00932E4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61D26" w14:textId="77777777" w:rsidR="008D6DE4" w:rsidRDefault="008D6DE4" w:rsidP="008D6DE4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Week 2 </w:t>
            </w: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90940" w14:textId="77777777" w:rsidR="008D6DE4" w:rsidRDefault="008D6DE4" w:rsidP="00932E41">
            <w:pPr>
              <w:pStyle w:val="TableContents"/>
              <w:snapToGrid w:val="0"/>
            </w:pPr>
            <w:r>
              <w:t>Simple Meters</w:t>
            </w:r>
          </w:p>
        </w:tc>
      </w:tr>
      <w:tr w:rsidR="008D6DE4" w14:paraId="3B898019" w14:textId="77777777" w:rsidTr="00932E4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FB432" w14:textId="77777777" w:rsidR="008D6DE4" w:rsidRDefault="008D6DE4" w:rsidP="008D6DE4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Week 3 </w:t>
            </w: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0ABBF" w14:textId="77777777" w:rsidR="008D6DE4" w:rsidRDefault="008D6DE4" w:rsidP="00932E41">
            <w:pPr>
              <w:pStyle w:val="TableContents"/>
              <w:snapToGrid w:val="0"/>
            </w:pPr>
            <w:r>
              <w:t>Beat Subdivisions and Syncopation</w:t>
            </w:r>
          </w:p>
        </w:tc>
      </w:tr>
      <w:tr w:rsidR="008D6DE4" w14:paraId="089BA372" w14:textId="77777777" w:rsidTr="00932E4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42463" w14:textId="77777777" w:rsidR="008D6DE4" w:rsidRDefault="008D6DE4" w:rsidP="008D6DE4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Week 4 </w:t>
            </w: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C7E42" w14:textId="77777777" w:rsidR="008D6DE4" w:rsidRDefault="008D6DE4" w:rsidP="00932E41">
            <w:pPr>
              <w:pStyle w:val="TableContents"/>
              <w:snapToGrid w:val="0"/>
            </w:pPr>
            <w:r>
              <w:t>Compound and Other Meters</w:t>
            </w:r>
          </w:p>
          <w:p w14:paraId="2AF4B39F" w14:textId="6CE49083" w:rsidR="00A2182E" w:rsidRPr="00A2182E" w:rsidRDefault="00A2182E" w:rsidP="00932E41">
            <w:pPr>
              <w:pStyle w:val="TableContents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Assessment 1</w:t>
            </w:r>
          </w:p>
        </w:tc>
      </w:tr>
      <w:tr w:rsidR="008D6DE4" w14:paraId="45FA542D" w14:textId="77777777" w:rsidTr="00932E4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A073B" w14:textId="77777777" w:rsidR="008D6DE4" w:rsidRDefault="008D6DE4" w:rsidP="008D6DE4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Week 5</w:t>
            </w: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452D4" w14:textId="77777777" w:rsidR="008D6DE4" w:rsidRDefault="008D6DE4" w:rsidP="00932E41">
            <w:pPr>
              <w:pStyle w:val="TableContents"/>
              <w:snapToGrid w:val="0"/>
            </w:pPr>
            <w:r>
              <w:t>Major Scales and Keys</w:t>
            </w:r>
          </w:p>
        </w:tc>
      </w:tr>
      <w:tr w:rsidR="008D6DE4" w14:paraId="7836E7E9" w14:textId="77777777" w:rsidTr="00932E4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C0EED" w14:textId="77777777" w:rsidR="008D6DE4" w:rsidRDefault="008D6DE4" w:rsidP="008D6DE4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Week 6 </w:t>
            </w: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56600" w14:textId="77777777" w:rsidR="008D6DE4" w:rsidRDefault="008D6DE4" w:rsidP="00932E41">
            <w:pPr>
              <w:pStyle w:val="TableContents"/>
              <w:snapToGrid w:val="0"/>
            </w:pPr>
            <w:r>
              <w:t>Minor Scales and Keys</w:t>
            </w:r>
          </w:p>
        </w:tc>
      </w:tr>
      <w:tr w:rsidR="008D6DE4" w14:paraId="41E3EAF3" w14:textId="77777777" w:rsidTr="00932E4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BD4A5" w14:textId="77777777" w:rsidR="008D6DE4" w:rsidRDefault="008D6DE4" w:rsidP="008D6DE4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Week 7</w:t>
            </w: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9B9A6" w14:textId="77777777" w:rsidR="008D6DE4" w:rsidRDefault="008D6DE4" w:rsidP="008D6DE4">
            <w:pPr>
              <w:pStyle w:val="TableContents"/>
              <w:snapToGrid w:val="0"/>
            </w:pPr>
            <w:r>
              <w:t>Intervals and Triads</w:t>
            </w:r>
          </w:p>
        </w:tc>
      </w:tr>
      <w:tr w:rsidR="008D6DE4" w14:paraId="514343F8" w14:textId="77777777" w:rsidTr="00932E4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9375B" w14:textId="77777777" w:rsidR="008D6DE4" w:rsidRDefault="008D6DE4" w:rsidP="008D6DE4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Week 8 </w:t>
            </w: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8F4CB" w14:textId="77777777" w:rsidR="008D6DE4" w:rsidRDefault="008D6DE4" w:rsidP="00932E41">
            <w:pPr>
              <w:pStyle w:val="TableContents"/>
              <w:snapToGrid w:val="0"/>
            </w:pPr>
            <w:r>
              <w:t>Melody Harmonization and Cadences</w:t>
            </w:r>
          </w:p>
          <w:p w14:paraId="7C23C551" w14:textId="77777777" w:rsidR="00A2182E" w:rsidRDefault="00A2182E" w:rsidP="00932E41">
            <w:pPr>
              <w:pStyle w:val="TableContents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Assessment 2</w:t>
            </w:r>
          </w:p>
          <w:p w14:paraId="5F8D780C" w14:textId="09447EB8" w:rsidR="00A2182E" w:rsidRPr="00A2182E" w:rsidRDefault="00A2182E" w:rsidP="00932E41">
            <w:pPr>
              <w:pStyle w:val="TableContents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Composition Project Due</w:t>
            </w:r>
          </w:p>
        </w:tc>
      </w:tr>
    </w:tbl>
    <w:p w14:paraId="1C93523E" w14:textId="0355AFC3" w:rsidR="008D6DE4" w:rsidRPr="008D6DE4" w:rsidRDefault="008D6DE4" w:rsidP="007501D3">
      <w:pPr>
        <w:rPr>
          <w:b/>
        </w:rPr>
      </w:pPr>
    </w:p>
    <w:sectPr w:rsidR="008D6DE4" w:rsidRPr="008D6DE4" w:rsidSect="0071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785"/>
    <w:multiLevelType w:val="hybridMultilevel"/>
    <w:tmpl w:val="8A88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68"/>
    <w:rsid w:val="000C1736"/>
    <w:rsid w:val="00116501"/>
    <w:rsid w:val="00492B7B"/>
    <w:rsid w:val="00573D68"/>
    <w:rsid w:val="00631707"/>
    <w:rsid w:val="0071288A"/>
    <w:rsid w:val="007501D3"/>
    <w:rsid w:val="008D6DE4"/>
    <w:rsid w:val="00932E41"/>
    <w:rsid w:val="00995B83"/>
    <w:rsid w:val="00A2182E"/>
    <w:rsid w:val="00A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10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2B7B"/>
    <w:pPr>
      <w:ind w:left="720"/>
      <w:contextualSpacing/>
    </w:pPr>
  </w:style>
  <w:style w:type="paragraph" w:customStyle="1" w:styleId="TableContents">
    <w:name w:val="Table Contents"/>
    <w:basedOn w:val="Normal"/>
    <w:rsid w:val="008D6DE4"/>
    <w:pPr>
      <w:suppressLineNumbers/>
      <w:suppressAutoHyphens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2B7B"/>
    <w:pPr>
      <w:ind w:left="720"/>
      <w:contextualSpacing/>
    </w:pPr>
  </w:style>
  <w:style w:type="paragraph" w:customStyle="1" w:styleId="TableContents">
    <w:name w:val="Table Contents"/>
    <w:basedOn w:val="Normal"/>
    <w:rsid w:val="008D6DE4"/>
    <w:pPr>
      <w:suppressLineNumbers/>
      <w:suppressAutoHyphens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andavis@temple.edu" TargetMode="External"/><Relationship Id="rId7" Type="http://schemas.openxmlformats.org/officeDocument/2006/relationships/hyperlink" Target="http://www.musictheory.net" TargetMode="External"/><Relationship Id="rId8" Type="http://schemas.openxmlformats.org/officeDocument/2006/relationships/hyperlink" Target="http://www.teoria.com" TargetMode="External"/><Relationship Id="rId9" Type="http://schemas.openxmlformats.org/officeDocument/2006/relationships/hyperlink" Target="http://www.musictheoryexampl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 Davis</dc:creator>
  <cp:keywords/>
  <dc:description/>
  <cp:lastModifiedBy>Amber Reed</cp:lastModifiedBy>
  <cp:revision>5</cp:revision>
  <dcterms:created xsi:type="dcterms:W3CDTF">2016-12-04T23:03:00Z</dcterms:created>
  <dcterms:modified xsi:type="dcterms:W3CDTF">2016-12-05T00:12:00Z</dcterms:modified>
</cp:coreProperties>
</file>